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E2" w:rsidRPr="002E26E2" w:rsidRDefault="002E26E2" w:rsidP="002E26E2">
      <w:pPr>
        <w:autoSpaceDE w:val="0"/>
        <w:autoSpaceDN w:val="0"/>
        <w:adjustRightInd w:val="0"/>
        <w:rPr>
          <w:rFonts w:cs="Arial"/>
          <w:b/>
          <w:sz w:val="24"/>
          <w:szCs w:val="24"/>
          <w:lang w:val="ru-RU"/>
        </w:rPr>
      </w:pPr>
      <w:r w:rsidRPr="002E26E2">
        <w:rPr>
          <w:rFonts w:cs="Arial"/>
          <w:b/>
          <w:sz w:val="24"/>
          <w:szCs w:val="24"/>
          <w:lang w:val="ru-RU"/>
        </w:rPr>
        <w:t>Новый мембранный манометр для санитарных применений</w:t>
      </w:r>
    </w:p>
    <w:p w:rsidR="00985511" w:rsidRPr="002E26E2" w:rsidRDefault="00985511" w:rsidP="009E4A88">
      <w:pPr>
        <w:pStyle w:val="a5"/>
        <w:rPr>
          <w:bCs w:val="0"/>
          <w:sz w:val="24"/>
          <w:lang w:val="ru-RU"/>
        </w:rPr>
      </w:pPr>
    </w:p>
    <w:p w:rsidR="005068F9" w:rsidRDefault="002E26E2" w:rsidP="006817EE">
      <w:pPr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  <w:lang w:val="ru-RU"/>
        </w:rPr>
        <w:t>Клингенберг</w:t>
      </w:r>
      <w:proofErr w:type="spellEnd"/>
      <w:r w:rsidR="005B1B93">
        <w:rPr>
          <w:rFonts w:cs="Arial"/>
          <w:b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  <w:lang w:val="ru-RU"/>
        </w:rPr>
        <w:t>Март</w:t>
      </w:r>
      <w:bookmarkStart w:id="0" w:name="_GoBack"/>
      <w:bookmarkEnd w:id="0"/>
      <w:r w:rsidR="005B1B93">
        <w:rPr>
          <w:rFonts w:cs="Arial"/>
          <w:b/>
          <w:sz w:val="22"/>
          <w:szCs w:val="22"/>
        </w:rPr>
        <w:t xml:space="preserve"> 2016. </w:t>
      </w:r>
    </w:p>
    <w:p w:rsidR="002E26E2" w:rsidRPr="002E26E2" w:rsidRDefault="002E26E2" w:rsidP="002E26E2">
      <w:pPr>
        <w:autoSpaceDE w:val="0"/>
        <w:autoSpaceDN w:val="0"/>
        <w:adjustRightInd w:val="0"/>
        <w:rPr>
          <w:rFonts w:cs="Arial"/>
          <w:b/>
          <w:sz w:val="22"/>
          <w:szCs w:val="22"/>
          <w:lang w:val="ru-RU"/>
        </w:rPr>
      </w:pPr>
      <w:r w:rsidRPr="002E26E2">
        <w:rPr>
          <w:rFonts w:cs="Arial"/>
          <w:b/>
          <w:sz w:val="22"/>
          <w:szCs w:val="22"/>
          <w:lang w:val="ru-RU"/>
        </w:rPr>
        <w:t xml:space="preserve">От корпуса асептического исполнения до технологических присоединений малых размеров: WIKA приспособила новый мембранный манометр модели </w:t>
      </w:r>
      <w:hyperlink r:id="rId8" w:history="1">
        <w:r w:rsidRPr="002E26E2">
          <w:rPr>
            <w:rFonts w:cs="Arial"/>
            <w:b/>
            <w:sz w:val="22"/>
            <w:szCs w:val="22"/>
            <w:lang w:val="ru-RU"/>
          </w:rPr>
          <w:t>PG43SA-S</w:t>
        </w:r>
      </w:hyperlink>
      <w:r w:rsidRPr="002E26E2">
        <w:rPr>
          <w:rFonts w:cs="Arial"/>
          <w:b/>
          <w:sz w:val="22"/>
          <w:szCs w:val="22"/>
          <w:lang w:val="ru-RU"/>
        </w:rPr>
        <w:t xml:space="preserve"> для санитарных применений.</w:t>
      </w:r>
    </w:p>
    <w:p w:rsidR="00B3312B" w:rsidRPr="002E26E2" w:rsidRDefault="00B3312B" w:rsidP="006817EE">
      <w:pPr>
        <w:rPr>
          <w:rFonts w:cs="Arial"/>
          <w:b/>
          <w:sz w:val="22"/>
          <w:szCs w:val="22"/>
          <w:lang w:val="ru-RU"/>
        </w:rPr>
      </w:pPr>
    </w:p>
    <w:p w:rsidR="002E26E2" w:rsidRPr="002E26E2" w:rsidRDefault="002E26E2" w:rsidP="002E26E2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2E26E2">
        <w:rPr>
          <w:rFonts w:cs="Arial"/>
          <w:sz w:val="22"/>
          <w:szCs w:val="22"/>
          <w:lang w:val="ru-RU"/>
        </w:rPr>
        <w:t xml:space="preserve">Теперь появился механический прибор для безопасного измерения давления в санитарных применениях. Принцип измерения с использованием монтируемой заподлицо приварной мембраны позволяет механически передать давление, </w:t>
      </w:r>
      <w:proofErr w:type="gramStart"/>
      <w:r w:rsidRPr="002E26E2">
        <w:rPr>
          <w:rFonts w:cs="Arial"/>
          <w:sz w:val="22"/>
          <w:szCs w:val="22"/>
          <w:lang w:val="ru-RU"/>
        </w:rPr>
        <w:t>полностью</w:t>
      </w:r>
      <w:proofErr w:type="gramEnd"/>
      <w:r w:rsidRPr="002E26E2">
        <w:rPr>
          <w:rFonts w:cs="Arial"/>
          <w:sz w:val="22"/>
          <w:szCs w:val="22"/>
          <w:lang w:val="ru-RU"/>
        </w:rPr>
        <w:t xml:space="preserve"> исключая при этом опасность загрязнения измеряемой среды заполняющей жидкостью. Обладая высокой степенью перегрузки по избыточному давлению, механизм способен выдерживать критичные условия технологического процесса.</w:t>
      </w:r>
    </w:p>
    <w:p w:rsidR="002E26E2" w:rsidRPr="002E26E2" w:rsidRDefault="002E26E2" w:rsidP="002E26E2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2E26E2">
        <w:rPr>
          <w:rFonts w:cs="Arial"/>
          <w:sz w:val="22"/>
          <w:szCs w:val="22"/>
          <w:lang w:val="ru-RU"/>
        </w:rPr>
        <w:t>Хорошая адаптация к различным условиям эксплуатации манометра модели PG43SA-S обеспечивается за счет большого выбора технологических присоединений небольшого размера, например, в соответствии с DIN 32676 (</w:t>
      </w:r>
      <w:proofErr w:type="spellStart"/>
      <w:r w:rsidRPr="002E26E2">
        <w:rPr>
          <w:rFonts w:cs="Arial"/>
          <w:sz w:val="22"/>
          <w:szCs w:val="22"/>
          <w:lang w:val="ru-RU"/>
        </w:rPr>
        <w:t>клэмп</w:t>
      </w:r>
      <w:proofErr w:type="spellEnd"/>
      <w:r w:rsidRPr="002E26E2">
        <w:rPr>
          <w:rFonts w:cs="Arial"/>
          <w:sz w:val="22"/>
          <w:szCs w:val="22"/>
          <w:lang w:val="ru-RU"/>
        </w:rPr>
        <w:t xml:space="preserve">) или DIN 11864. Будучи протестированным в соответствии с Санитарными Стандартами 3-A, манометр с корпусом в асептическом исполнении совместим с процедурами </w:t>
      </w:r>
      <w:proofErr w:type="spellStart"/>
      <w:r w:rsidRPr="002E26E2">
        <w:rPr>
          <w:rFonts w:cs="Arial"/>
          <w:sz w:val="22"/>
          <w:szCs w:val="22"/>
          <w:lang w:val="ru-RU"/>
        </w:rPr>
        <w:t>безразборной</w:t>
      </w:r>
      <w:proofErr w:type="spellEnd"/>
      <w:r w:rsidRPr="002E26E2">
        <w:rPr>
          <w:rFonts w:cs="Arial"/>
          <w:sz w:val="22"/>
          <w:szCs w:val="22"/>
          <w:lang w:val="ru-RU"/>
        </w:rPr>
        <w:t xml:space="preserve"> очистки на месте установки (CIP), </w:t>
      </w:r>
      <w:proofErr w:type="spellStart"/>
      <w:r w:rsidRPr="002E26E2">
        <w:rPr>
          <w:rFonts w:cs="Arial"/>
          <w:sz w:val="22"/>
          <w:szCs w:val="22"/>
          <w:lang w:val="ru-RU"/>
        </w:rPr>
        <w:t>безразборной</w:t>
      </w:r>
      <w:proofErr w:type="spellEnd"/>
      <w:r w:rsidRPr="002E26E2">
        <w:rPr>
          <w:rFonts w:cs="Arial"/>
          <w:sz w:val="22"/>
          <w:szCs w:val="22"/>
          <w:lang w:val="ru-RU"/>
        </w:rPr>
        <w:t xml:space="preserve"> стерилизации на месте (SIP) и способен выдерживать мойку струей воды. Таким образом, его можно качественно очистить без больших затрат времени. Легкий доступ к винту подстройки нуля, расположенному в верхней части корпуса, позволяет при необходимости откалибровать прибор.</w:t>
      </w:r>
    </w:p>
    <w:p w:rsidR="00B24442" w:rsidRPr="002E26E2" w:rsidRDefault="00B24442" w:rsidP="006817EE">
      <w:pPr>
        <w:rPr>
          <w:rFonts w:cs="Arial"/>
          <w:sz w:val="22"/>
          <w:szCs w:val="22"/>
          <w:lang w:val="ru-RU"/>
        </w:rPr>
      </w:pPr>
    </w:p>
    <w:p w:rsidR="00B02416" w:rsidRDefault="00B02416">
      <w:pPr>
        <w:pStyle w:val="a5"/>
        <w:rPr>
          <w:b w:val="0"/>
          <w:sz w:val="20"/>
        </w:rPr>
      </w:pPr>
    </w:p>
    <w:p w:rsidR="005068F9" w:rsidRDefault="005068F9">
      <w:pPr>
        <w:pStyle w:val="a5"/>
        <w:rPr>
          <w:b w:val="0"/>
          <w:sz w:val="20"/>
        </w:rPr>
      </w:pPr>
    </w:p>
    <w:p w:rsidR="005068F9" w:rsidRDefault="005068F9">
      <w:pPr>
        <w:pStyle w:val="a5"/>
        <w:rPr>
          <w:b w:val="0"/>
          <w:sz w:val="20"/>
        </w:rPr>
      </w:pPr>
    </w:p>
    <w:p w:rsidR="005068F9" w:rsidRDefault="005068F9">
      <w:pPr>
        <w:pStyle w:val="a5"/>
        <w:rPr>
          <w:b w:val="0"/>
          <w:sz w:val="20"/>
        </w:rPr>
      </w:pPr>
    </w:p>
    <w:p w:rsidR="00B02416" w:rsidRDefault="00B02416">
      <w:pPr>
        <w:pStyle w:val="a5"/>
        <w:rPr>
          <w:b w:val="0"/>
          <w:sz w:val="20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2E26E2" w:rsidRDefault="002E26E2">
      <w:pPr>
        <w:ind w:right="480"/>
        <w:rPr>
          <w:rFonts w:cs="Arial"/>
          <w:b/>
          <w:position w:val="6"/>
        </w:rPr>
      </w:pPr>
    </w:p>
    <w:p w:rsidR="00C77149" w:rsidRDefault="00C77149">
      <w:pPr>
        <w:ind w:right="480"/>
        <w:rPr>
          <w:rFonts w:cs="Arial"/>
          <w:b/>
          <w:position w:val="6"/>
        </w:rPr>
      </w:pPr>
    </w:p>
    <w:p w:rsidR="00B02416" w:rsidRPr="00985511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85511">
        <w:rPr>
          <w:lang w:val="de-DE"/>
        </w:rPr>
        <w:t>KG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Alexander-Wiegand-Straße 30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2E26E2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9" w:history="1">
        <w:r w:rsidR="00C7223D">
          <w:rPr>
            <w:rStyle w:val="a6"/>
            <w:rFonts w:cs="Arial"/>
          </w:rPr>
          <w:t>www.wika.de</w:t>
        </w:r>
      </w:hyperlink>
    </w:p>
    <w:p w:rsidR="00B02416" w:rsidRPr="002E26E2" w:rsidRDefault="00B02416">
      <w:pPr>
        <w:rPr>
          <w:b/>
          <w:lang w:val="ru-RU"/>
        </w:rPr>
      </w:pPr>
      <w:r>
        <w:rPr>
          <w:b/>
        </w:rPr>
        <w:lastRenderedPageBreak/>
        <w:t>WIKA</w:t>
      </w:r>
      <w:r w:rsidRPr="002E26E2">
        <w:rPr>
          <w:b/>
          <w:lang w:val="ru-RU"/>
        </w:rPr>
        <w:t xml:space="preserve"> </w:t>
      </w:r>
      <w:r w:rsidR="002E26E2">
        <w:rPr>
          <w:b/>
          <w:lang w:val="ru-RU"/>
        </w:rPr>
        <w:t>фотография</w:t>
      </w:r>
      <w:r w:rsidRPr="002E26E2">
        <w:rPr>
          <w:b/>
          <w:lang w:val="ru-RU"/>
        </w:rPr>
        <w:t>:</w:t>
      </w:r>
    </w:p>
    <w:p w:rsidR="00CA53C7" w:rsidRPr="002E26E2" w:rsidRDefault="002E26E2">
      <w:pPr>
        <w:rPr>
          <w:color w:val="000000"/>
          <w:lang w:val="ru-RU"/>
        </w:rPr>
      </w:pPr>
      <w:r w:rsidRPr="002E26E2">
        <w:rPr>
          <w:rFonts w:cs="Arial"/>
          <w:lang w:val="ru-RU"/>
        </w:rPr>
        <w:t xml:space="preserve">WIKA приспособила новый мембранный манометр модели </w:t>
      </w:r>
      <w:hyperlink r:id="rId10" w:history="1">
        <w:r w:rsidRPr="002E26E2">
          <w:rPr>
            <w:rFonts w:cs="Arial"/>
            <w:lang w:val="ru-RU"/>
          </w:rPr>
          <w:t>PG43SA-S</w:t>
        </w:r>
      </w:hyperlink>
      <w:r w:rsidRPr="002E26E2">
        <w:rPr>
          <w:rFonts w:cs="Arial"/>
          <w:lang w:val="ru-RU"/>
        </w:rPr>
        <w:t xml:space="preserve"> для санитарных применений</w:t>
      </w:r>
    </w:p>
    <w:p w:rsidR="00B02416" w:rsidRPr="002E26E2" w:rsidRDefault="00B02416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:rsidR="00B02416" w:rsidRPr="00523CE6" w:rsidRDefault="00523CE6">
      <w:pPr>
        <w:pStyle w:val="a3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3608323" cy="2381250"/>
            <wp:effectExtent l="0" t="0" r="0" b="0"/>
            <wp:docPr id="5" name="Grafik 5" descr="N:\Sales-Europe\06_Marketing\MS\02_Media\10_Presse_MAAN\02_Presseinformationen\2016\2_Bilder\PIC_NE_PR0016_de-de_PG43_201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6\2_Bilder\PIC_NE_PR0016_de-de_PG43_2016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23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a3"/>
        <w:tabs>
          <w:tab w:val="clear" w:pos="4536"/>
          <w:tab w:val="clear" w:pos="9072"/>
        </w:tabs>
      </w:pPr>
    </w:p>
    <w:p w:rsidR="00B02416" w:rsidRDefault="00B02416">
      <w:pPr>
        <w:pStyle w:val="a3"/>
        <w:tabs>
          <w:tab w:val="clear" w:pos="4536"/>
          <w:tab w:val="clear" w:pos="9072"/>
        </w:tabs>
      </w:pPr>
    </w:p>
    <w:p w:rsidR="00B02416" w:rsidRDefault="00B02416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2E26E2" w:rsidRDefault="002E26E2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2E26E2" w:rsidRDefault="002E26E2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2E26E2" w:rsidRDefault="002E26E2">
      <w:pPr>
        <w:pStyle w:val="a3"/>
        <w:tabs>
          <w:tab w:val="clear" w:pos="4536"/>
          <w:tab w:val="clear" w:pos="9072"/>
        </w:tabs>
        <w:rPr>
          <w:lang w:val="ru-RU"/>
        </w:rPr>
      </w:pPr>
    </w:p>
    <w:p w:rsidR="00B02416" w:rsidRDefault="00B02416">
      <w:pPr>
        <w:pStyle w:val="a3"/>
        <w:tabs>
          <w:tab w:val="clear" w:pos="4536"/>
          <w:tab w:val="clear" w:pos="9072"/>
        </w:tabs>
      </w:pPr>
    </w:p>
    <w:p w:rsidR="00B02416" w:rsidRDefault="00B02416">
      <w:pPr>
        <w:pStyle w:val="a3"/>
        <w:tabs>
          <w:tab w:val="clear" w:pos="4536"/>
          <w:tab w:val="clear" w:pos="9072"/>
        </w:tabs>
      </w:pPr>
    </w:p>
    <w:p w:rsidR="00B02416" w:rsidRDefault="00B02416">
      <w:pPr>
        <w:pStyle w:val="a3"/>
        <w:tabs>
          <w:tab w:val="clear" w:pos="4536"/>
          <w:tab w:val="clear" w:pos="9072"/>
        </w:tabs>
      </w:pPr>
    </w:p>
    <w:p w:rsidR="00B02416" w:rsidRDefault="00B02416">
      <w:pPr>
        <w:pStyle w:val="a5"/>
        <w:tabs>
          <w:tab w:val="left" w:pos="993"/>
        </w:tabs>
        <w:rPr>
          <w:sz w:val="20"/>
        </w:rPr>
      </w:pPr>
    </w:p>
    <w:p w:rsidR="00B02416" w:rsidRDefault="002E26E2">
      <w:pPr>
        <w:tabs>
          <w:tab w:val="left" w:pos="754"/>
          <w:tab w:val="left" w:pos="993"/>
        </w:tabs>
        <w:rPr>
          <w:b/>
        </w:rPr>
      </w:pPr>
      <w:r>
        <w:rPr>
          <w:b/>
          <w:lang w:val="ru-RU"/>
        </w:rPr>
        <w:t>Редакция</w:t>
      </w:r>
      <w:r w:rsidR="00B02416">
        <w:rPr>
          <w:b/>
        </w:rPr>
        <w:t>: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85511">
        <w:rPr>
          <w:lang w:val="fr-FR"/>
        </w:rPr>
        <w:t>KG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 w:rsidRPr="00985511">
        <w:rPr>
          <w:lang w:val="fr-FR"/>
        </w:rPr>
        <w:t>André Habel Nunes</w:t>
      </w:r>
    </w:p>
    <w:p w:rsidR="00B02416" w:rsidRDefault="00B02416">
      <w:pPr>
        <w:tabs>
          <w:tab w:val="left" w:pos="993"/>
        </w:tabs>
        <w:rPr>
          <w:lang w:val="fr-FR"/>
        </w:rPr>
      </w:pPr>
      <w:r w:rsidRPr="00985511">
        <w:rPr>
          <w:lang w:val="fr-FR"/>
        </w:rPr>
        <w:t>Marketing Services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Alexander-Wiegand-Straße 30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63911 Klingenberg/Germany</w:t>
      </w:r>
    </w:p>
    <w:p w:rsidR="00B02416" w:rsidRPr="00985511" w:rsidRDefault="00B02416">
      <w:pPr>
        <w:rPr>
          <w:lang w:val="de-DE"/>
        </w:rPr>
      </w:pPr>
      <w:r w:rsidRPr="00985511">
        <w:rPr>
          <w:lang w:val="de-DE"/>
        </w:rPr>
        <w:t>Tel. +49 9372 132-8010</w:t>
      </w:r>
    </w:p>
    <w:p w:rsidR="00B02416" w:rsidRDefault="00B02416">
      <w:pPr>
        <w:rPr>
          <w:lang w:val="fr-FR"/>
        </w:rPr>
      </w:pPr>
      <w:r w:rsidRPr="00985511">
        <w:rPr>
          <w:lang w:val="fr-FR"/>
        </w:rPr>
        <w:t>Fax +49 9372 132-8008010</w:t>
      </w:r>
    </w:p>
    <w:p w:rsidR="00B02416" w:rsidRDefault="00B02416">
      <w:pPr>
        <w:rPr>
          <w:lang w:val="fr-FR"/>
        </w:rPr>
      </w:pPr>
      <w:r w:rsidRPr="00985511">
        <w:rPr>
          <w:lang w:val="fr-FR"/>
        </w:rPr>
        <w:t>andre.habel-nunes@wika.com</w:t>
      </w:r>
    </w:p>
    <w:p w:rsidR="00B02416" w:rsidRPr="00985511" w:rsidRDefault="002E26E2">
      <w:hyperlink r:id="rId12" w:history="1">
        <w:r w:rsidR="00C7223D">
          <w:rPr>
            <w:rStyle w:val="a6"/>
            <w:rFonts w:cs="Arial"/>
          </w:rPr>
          <w:t>www.wika.de</w:t>
        </w:r>
      </w:hyperlink>
    </w:p>
    <w:p w:rsidR="00B02416" w:rsidRPr="00985511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0371A8">
        <w:rPr>
          <w:rFonts w:cs="Arial"/>
        </w:rPr>
        <w:t>04/2016</w:t>
      </w:r>
    </w:p>
    <w:p w:rsidR="00B02416" w:rsidRDefault="00B02416">
      <w:pPr>
        <w:pStyle w:val="a5"/>
        <w:rPr>
          <w:b w:val="0"/>
          <w:sz w:val="20"/>
        </w:rPr>
      </w:pPr>
    </w:p>
    <w:sectPr w:rsidR="00B02416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91" w:rsidRDefault="00E10591">
      <w:r>
        <w:separator/>
      </w:r>
    </w:p>
  </w:endnote>
  <w:endnote w:type="continuationSeparator" w:id="0">
    <w:p w:rsidR="00E10591" w:rsidRDefault="00E1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91" w:rsidRDefault="00E10591">
      <w:r>
        <w:separator/>
      </w:r>
    </w:p>
  </w:footnote>
  <w:footnote w:type="continuationSeparator" w:id="0">
    <w:p w:rsidR="00E10591" w:rsidRDefault="00E1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6" w:rsidRDefault="00E2000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B02416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B02416" w:rsidRDefault="00B02416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371A8"/>
    <w:rsid w:val="00056D18"/>
    <w:rsid w:val="00061269"/>
    <w:rsid w:val="00065CBA"/>
    <w:rsid w:val="00076D42"/>
    <w:rsid w:val="00077317"/>
    <w:rsid w:val="00083F7C"/>
    <w:rsid w:val="00095157"/>
    <w:rsid w:val="000A1BA9"/>
    <w:rsid w:val="000C148A"/>
    <w:rsid w:val="000D3B9F"/>
    <w:rsid w:val="000E18DC"/>
    <w:rsid w:val="001038E3"/>
    <w:rsid w:val="001216F3"/>
    <w:rsid w:val="00121F9C"/>
    <w:rsid w:val="001412A1"/>
    <w:rsid w:val="0015174D"/>
    <w:rsid w:val="00154F72"/>
    <w:rsid w:val="00163FF7"/>
    <w:rsid w:val="001B0D25"/>
    <w:rsid w:val="001B1DA2"/>
    <w:rsid w:val="001E6072"/>
    <w:rsid w:val="001E719A"/>
    <w:rsid w:val="001F1463"/>
    <w:rsid w:val="001F4ACF"/>
    <w:rsid w:val="00292DD2"/>
    <w:rsid w:val="002C7F04"/>
    <w:rsid w:val="002D1DF8"/>
    <w:rsid w:val="002D284A"/>
    <w:rsid w:val="002D6554"/>
    <w:rsid w:val="002E0864"/>
    <w:rsid w:val="002E26E2"/>
    <w:rsid w:val="002E6177"/>
    <w:rsid w:val="002F39F5"/>
    <w:rsid w:val="00314078"/>
    <w:rsid w:val="003171B5"/>
    <w:rsid w:val="0032638B"/>
    <w:rsid w:val="00351200"/>
    <w:rsid w:val="00363701"/>
    <w:rsid w:val="00367B7E"/>
    <w:rsid w:val="00376710"/>
    <w:rsid w:val="0037709C"/>
    <w:rsid w:val="003773EB"/>
    <w:rsid w:val="00377A0B"/>
    <w:rsid w:val="00381A47"/>
    <w:rsid w:val="0038426D"/>
    <w:rsid w:val="00385DB1"/>
    <w:rsid w:val="00391C7C"/>
    <w:rsid w:val="003B654C"/>
    <w:rsid w:val="003C6E5A"/>
    <w:rsid w:val="003D6883"/>
    <w:rsid w:val="003E2BA8"/>
    <w:rsid w:val="003F6C3C"/>
    <w:rsid w:val="00404625"/>
    <w:rsid w:val="004131A6"/>
    <w:rsid w:val="00446F60"/>
    <w:rsid w:val="00466BE5"/>
    <w:rsid w:val="004705E5"/>
    <w:rsid w:val="0047347E"/>
    <w:rsid w:val="004770E1"/>
    <w:rsid w:val="00492BCF"/>
    <w:rsid w:val="0049465C"/>
    <w:rsid w:val="00497816"/>
    <w:rsid w:val="004B0483"/>
    <w:rsid w:val="004C12A7"/>
    <w:rsid w:val="004E2919"/>
    <w:rsid w:val="004E7285"/>
    <w:rsid w:val="005068F9"/>
    <w:rsid w:val="00523CE6"/>
    <w:rsid w:val="00534659"/>
    <w:rsid w:val="005543F4"/>
    <w:rsid w:val="00562654"/>
    <w:rsid w:val="0058003C"/>
    <w:rsid w:val="005A6B9C"/>
    <w:rsid w:val="005B083E"/>
    <w:rsid w:val="005B1B93"/>
    <w:rsid w:val="005C3E1E"/>
    <w:rsid w:val="005C4D8E"/>
    <w:rsid w:val="005E4D0F"/>
    <w:rsid w:val="005F157A"/>
    <w:rsid w:val="00600CE5"/>
    <w:rsid w:val="0060171D"/>
    <w:rsid w:val="00601863"/>
    <w:rsid w:val="006155BD"/>
    <w:rsid w:val="00630B9B"/>
    <w:rsid w:val="00632AFD"/>
    <w:rsid w:val="006347E0"/>
    <w:rsid w:val="0063628B"/>
    <w:rsid w:val="00637471"/>
    <w:rsid w:val="00643995"/>
    <w:rsid w:val="00644086"/>
    <w:rsid w:val="006525E1"/>
    <w:rsid w:val="00653357"/>
    <w:rsid w:val="00670CE4"/>
    <w:rsid w:val="006817EE"/>
    <w:rsid w:val="006820B3"/>
    <w:rsid w:val="006862C5"/>
    <w:rsid w:val="006A1452"/>
    <w:rsid w:val="006C2308"/>
    <w:rsid w:val="006C544D"/>
    <w:rsid w:val="006D2745"/>
    <w:rsid w:val="006E1CD0"/>
    <w:rsid w:val="006F3CDB"/>
    <w:rsid w:val="006F5E44"/>
    <w:rsid w:val="007326EE"/>
    <w:rsid w:val="00735CED"/>
    <w:rsid w:val="00744506"/>
    <w:rsid w:val="007662CE"/>
    <w:rsid w:val="007A1E37"/>
    <w:rsid w:val="007A2C25"/>
    <w:rsid w:val="007C1848"/>
    <w:rsid w:val="007E6A15"/>
    <w:rsid w:val="00817E93"/>
    <w:rsid w:val="00833D1F"/>
    <w:rsid w:val="0084686B"/>
    <w:rsid w:val="00857809"/>
    <w:rsid w:val="00863B30"/>
    <w:rsid w:val="008744CC"/>
    <w:rsid w:val="00874FFA"/>
    <w:rsid w:val="00897C3C"/>
    <w:rsid w:val="008A7929"/>
    <w:rsid w:val="008B5FAE"/>
    <w:rsid w:val="008D3B94"/>
    <w:rsid w:val="008D5609"/>
    <w:rsid w:val="008E5EA4"/>
    <w:rsid w:val="008F5575"/>
    <w:rsid w:val="00963F23"/>
    <w:rsid w:val="00985511"/>
    <w:rsid w:val="00994AD3"/>
    <w:rsid w:val="009A29CD"/>
    <w:rsid w:val="009A6DCA"/>
    <w:rsid w:val="009B3B38"/>
    <w:rsid w:val="009C5A29"/>
    <w:rsid w:val="009E4A2E"/>
    <w:rsid w:val="009E4A88"/>
    <w:rsid w:val="00A21782"/>
    <w:rsid w:val="00A251B3"/>
    <w:rsid w:val="00A35656"/>
    <w:rsid w:val="00A463DF"/>
    <w:rsid w:val="00A73320"/>
    <w:rsid w:val="00AC4BA2"/>
    <w:rsid w:val="00AC5BB8"/>
    <w:rsid w:val="00AE0961"/>
    <w:rsid w:val="00AF4647"/>
    <w:rsid w:val="00B02416"/>
    <w:rsid w:val="00B11825"/>
    <w:rsid w:val="00B141CB"/>
    <w:rsid w:val="00B15B30"/>
    <w:rsid w:val="00B23A63"/>
    <w:rsid w:val="00B24442"/>
    <w:rsid w:val="00B3312B"/>
    <w:rsid w:val="00B51B9B"/>
    <w:rsid w:val="00B646B5"/>
    <w:rsid w:val="00B74A9A"/>
    <w:rsid w:val="00B754B6"/>
    <w:rsid w:val="00B92B41"/>
    <w:rsid w:val="00B96C6F"/>
    <w:rsid w:val="00BB180B"/>
    <w:rsid w:val="00BC39BA"/>
    <w:rsid w:val="00BD5EEC"/>
    <w:rsid w:val="00BF1D5B"/>
    <w:rsid w:val="00C068D8"/>
    <w:rsid w:val="00C11FF3"/>
    <w:rsid w:val="00C50180"/>
    <w:rsid w:val="00C677A3"/>
    <w:rsid w:val="00C7223D"/>
    <w:rsid w:val="00C77149"/>
    <w:rsid w:val="00C82345"/>
    <w:rsid w:val="00C90D21"/>
    <w:rsid w:val="00C91A34"/>
    <w:rsid w:val="00CA53C7"/>
    <w:rsid w:val="00CD3A08"/>
    <w:rsid w:val="00CE2D35"/>
    <w:rsid w:val="00CE3819"/>
    <w:rsid w:val="00CE63EA"/>
    <w:rsid w:val="00CF1633"/>
    <w:rsid w:val="00CF5C61"/>
    <w:rsid w:val="00D13DFC"/>
    <w:rsid w:val="00D40FED"/>
    <w:rsid w:val="00D434DA"/>
    <w:rsid w:val="00D442E5"/>
    <w:rsid w:val="00D44D52"/>
    <w:rsid w:val="00D44F1C"/>
    <w:rsid w:val="00D620FD"/>
    <w:rsid w:val="00D81999"/>
    <w:rsid w:val="00DA0534"/>
    <w:rsid w:val="00DB293A"/>
    <w:rsid w:val="00DD3423"/>
    <w:rsid w:val="00DD4130"/>
    <w:rsid w:val="00DE36CE"/>
    <w:rsid w:val="00E041D8"/>
    <w:rsid w:val="00E10591"/>
    <w:rsid w:val="00E11CFA"/>
    <w:rsid w:val="00E20003"/>
    <w:rsid w:val="00E215F3"/>
    <w:rsid w:val="00E35793"/>
    <w:rsid w:val="00E362D3"/>
    <w:rsid w:val="00E717A9"/>
    <w:rsid w:val="00E77184"/>
    <w:rsid w:val="00E85CA1"/>
    <w:rsid w:val="00EB13C4"/>
    <w:rsid w:val="00EE0576"/>
    <w:rsid w:val="00EE13BC"/>
    <w:rsid w:val="00EE561E"/>
    <w:rsid w:val="00EF0E45"/>
    <w:rsid w:val="00EF5819"/>
    <w:rsid w:val="00F00091"/>
    <w:rsid w:val="00F151F7"/>
    <w:rsid w:val="00F259EC"/>
    <w:rsid w:val="00F3657A"/>
    <w:rsid w:val="00F506A3"/>
    <w:rsid w:val="00FA5CBA"/>
    <w:rsid w:val="00FB02CA"/>
    <w:rsid w:val="00FC122C"/>
    <w:rsid w:val="00FD5C43"/>
    <w:rsid w:val="00FE4B29"/>
    <w:rsid w:val="00FF14BA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g43sa_s_ru_ru.WIK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ika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/pg43sa_s_ru_ru.W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a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54E0-E1A2-4133-B602-78DFB104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2075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5</cp:revision>
  <cp:lastPrinted>2015-11-06T09:08:00Z</cp:lastPrinted>
  <dcterms:created xsi:type="dcterms:W3CDTF">2016-02-22T11:01:00Z</dcterms:created>
  <dcterms:modified xsi:type="dcterms:W3CDTF">2017-10-25T12:23:00Z</dcterms:modified>
</cp:coreProperties>
</file>